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77F741FD"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sz w:val="22"/>
          <w:szCs w:val="22"/>
        </w:rPr>
        <w:t xml:space="preserve"> </w:t>
      </w:r>
      <w:r w:rsidR="003A3348" w:rsidRPr="003A3348">
        <w:rPr>
          <w:rFonts w:asciiTheme="minorHAnsi" w:hAnsiTheme="minorHAnsi" w:cstheme="minorHAnsi"/>
          <w:color w:val="FF0000"/>
          <w:sz w:val="22"/>
          <w:szCs w:val="22"/>
        </w:rPr>
        <w:t>from tab “Summary Total Bid Amount” cell B6</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6B1296">
        <w:rPr>
          <w:rFonts w:asciiTheme="minorHAnsi" w:hAnsiTheme="minorHAnsi" w:cstheme="minorHAnsi"/>
        </w:rPr>
        <w:t>In order for</w:t>
      </w:r>
      <w:proofErr w:type="gramEnd"/>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30D1" w:rsidRPr="008D7175" w14:paraId="72D16BFC" w14:textId="77777777" w:rsidTr="00B9489D">
        <w:tc>
          <w:tcPr>
            <w:tcW w:w="10800" w:type="dxa"/>
            <w:tcBorders>
              <w:bottom w:val="single" w:sz="4" w:space="0" w:color="auto"/>
            </w:tcBorders>
          </w:tcPr>
          <w:p w14:paraId="729FAD8A" w14:textId="3D4B4A12" w:rsidR="007B30D1" w:rsidRPr="008D7175" w:rsidRDefault="007B30D1" w:rsidP="007B30D1">
            <w:pPr>
              <w:rPr>
                <w:rFonts w:asciiTheme="minorHAnsi" w:hAnsiTheme="minorHAnsi" w:cstheme="minorHAnsi"/>
                <w:b/>
                <w:sz w:val="22"/>
              </w:rPr>
            </w:pPr>
            <w:r w:rsidRPr="00981026">
              <w:rPr>
                <w:rFonts w:asciiTheme="minorHAnsi" w:hAnsiTheme="minorHAnsi" w:cstheme="minorHAnsi"/>
                <w:b/>
                <w:sz w:val="22"/>
              </w:rPr>
              <w:t xml:space="preserve">RFP#: </w:t>
            </w:r>
            <w:r w:rsidRPr="0029491F">
              <w:rPr>
                <w:rFonts w:asciiTheme="minorHAnsi" w:hAnsiTheme="minorHAnsi" w:cstheme="minorHAnsi"/>
                <w:b/>
                <w:color w:val="0033CC"/>
                <w:sz w:val="22"/>
              </w:rPr>
              <w:t>24-76020 - Courier services for laboratory related items and specimens</w:t>
            </w:r>
          </w:p>
        </w:tc>
      </w:tr>
      <w:tr w:rsidR="007B30D1" w:rsidRPr="008D7175" w14:paraId="7818E3BC" w14:textId="77777777" w:rsidTr="00B9489D">
        <w:tc>
          <w:tcPr>
            <w:tcW w:w="10800" w:type="dxa"/>
            <w:tcBorders>
              <w:bottom w:val="single" w:sz="4" w:space="0" w:color="auto"/>
            </w:tcBorders>
          </w:tcPr>
          <w:p w14:paraId="005BF180" w14:textId="77777777" w:rsidR="007B30D1" w:rsidRDefault="007B30D1" w:rsidP="007B30D1">
            <w:pPr>
              <w:tabs>
                <w:tab w:val="left" w:pos="390"/>
              </w:tabs>
              <w:rPr>
                <w:rFonts w:asciiTheme="minorHAnsi" w:hAnsiTheme="minorHAnsi" w:cstheme="minorHAnsi"/>
                <w:b/>
                <w:sz w:val="22"/>
              </w:rPr>
            </w:pPr>
          </w:p>
          <w:p w14:paraId="1B8C800B" w14:textId="53290720" w:rsidR="007B30D1" w:rsidRPr="008D7175" w:rsidRDefault="007B30D1" w:rsidP="007B30D1">
            <w:pPr>
              <w:tabs>
                <w:tab w:val="left" w:pos="390"/>
              </w:tabs>
              <w:rPr>
                <w:rFonts w:asciiTheme="minorHAnsi" w:hAnsiTheme="minorHAnsi" w:cstheme="minorHAnsi"/>
                <w:b/>
                <w:sz w:val="22"/>
              </w:rPr>
            </w:pPr>
            <w:r w:rsidRPr="008D7175">
              <w:rPr>
                <w:rFonts w:asciiTheme="minorHAnsi" w:hAnsiTheme="minorHAnsi" w:cstheme="minorHAnsi"/>
                <w:b/>
                <w:sz w:val="22"/>
              </w:rPr>
              <w:t xml:space="preserve">TOTAL BID AMOUNT: </w:t>
            </w:r>
            <w:r w:rsidRPr="007B30D1">
              <w:rPr>
                <w:rFonts w:asciiTheme="minorHAnsi" w:hAnsiTheme="minorHAnsi" w:cstheme="minorHAnsi"/>
                <w:b/>
                <w:color w:val="0033CC"/>
                <w:sz w:val="22"/>
              </w:rPr>
              <w:t xml:space="preserve">N/A – Not Applicable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1"/>
        <w:gridCol w:w="442"/>
        <w:gridCol w:w="5239"/>
      </w:tblGrid>
      <w:tr w:rsidR="007B30D1" w:rsidRPr="00981026" w14:paraId="319DE78F" w14:textId="77777777" w:rsidTr="007B30D1">
        <w:tc>
          <w:tcPr>
            <w:tcW w:w="5011" w:type="dxa"/>
            <w:tcBorders>
              <w:bottom w:val="single" w:sz="4" w:space="0" w:color="auto"/>
            </w:tcBorders>
          </w:tcPr>
          <w:p w14:paraId="2714D947" w14:textId="77777777" w:rsidR="007B30D1" w:rsidRPr="00064246" w:rsidRDefault="007B30D1" w:rsidP="009501DA">
            <w:pPr>
              <w:rPr>
                <w:rFonts w:asciiTheme="minorHAnsi" w:hAnsiTheme="minorHAnsi" w:cstheme="minorHAnsi"/>
                <w:color w:val="0000A8"/>
                <w:sz w:val="22"/>
              </w:rPr>
            </w:pPr>
            <w:r w:rsidRPr="00064246">
              <w:rPr>
                <w:rFonts w:asciiTheme="minorHAnsi" w:hAnsiTheme="minorHAnsi" w:cstheme="minorHAnsi"/>
                <w:color w:val="0000A8"/>
                <w:sz w:val="22"/>
              </w:rPr>
              <w:t>STAT Courier Service, Inc.</w:t>
            </w:r>
          </w:p>
        </w:tc>
        <w:tc>
          <w:tcPr>
            <w:tcW w:w="442" w:type="dxa"/>
          </w:tcPr>
          <w:p w14:paraId="65E03D0D" w14:textId="77777777" w:rsidR="007B30D1" w:rsidRPr="00981026" w:rsidRDefault="007B30D1" w:rsidP="009501DA">
            <w:pPr>
              <w:rPr>
                <w:rFonts w:asciiTheme="minorHAnsi" w:hAnsiTheme="minorHAnsi" w:cstheme="minorHAnsi"/>
                <w:sz w:val="22"/>
              </w:rPr>
            </w:pPr>
          </w:p>
        </w:tc>
        <w:tc>
          <w:tcPr>
            <w:tcW w:w="5239" w:type="dxa"/>
            <w:tcBorders>
              <w:bottom w:val="single" w:sz="4" w:space="0" w:color="auto"/>
            </w:tcBorders>
          </w:tcPr>
          <w:p w14:paraId="669307C4" w14:textId="77777777" w:rsidR="007B30D1" w:rsidRPr="00064246" w:rsidRDefault="007B30D1" w:rsidP="009501DA">
            <w:pPr>
              <w:rPr>
                <w:rFonts w:asciiTheme="minorHAnsi" w:hAnsiTheme="minorHAnsi" w:cstheme="minorHAnsi"/>
                <w:color w:val="0000A8"/>
                <w:sz w:val="22"/>
              </w:rPr>
            </w:pPr>
            <w:r w:rsidRPr="00064246">
              <w:rPr>
                <w:rFonts w:asciiTheme="minorHAnsi" w:hAnsiTheme="minorHAnsi" w:cstheme="minorHAnsi"/>
                <w:color w:val="0000A8"/>
                <w:sz w:val="22"/>
              </w:rPr>
              <w:t>636-561-2518</w:t>
            </w:r>
          </w:p>
        </w:tc>
      </w:tr>
      <w:tr w:rsidR="007B30D1" w:rsidRPr="00981026" w14:paraId="1233BA77" w14:textId="77777777" w:rsidTr="007B30D1">
        <w:tc>
          <w:tcPr>
            <w:tcW w:w="5011" w:type="dxa"/>
            <w:tcBorders>
              <w:top w:val="single" w:sz="4" w:space="0" w:color="auto"/>
            </w:tcBorders>
          </w:tcPr>
          <w:p w14:paraId="11C92E5F" w14:textId="77777777" w:rsidR="007B30D1" w:rsidRPr="00981026" w:rsidRDefault="007B30D1" w:rsidP="009501DA">
            <w:pPr>
              <w:rPr>
                <w:rFonts w:asciiTheme="minorHAnsi" w:hAnsiTheme="minorHAnsi" w:cstheme="minorHAnsi"/>
                <w:sz w:val="22"/>
              </w:rPr>
            </w:pPr>
            <w:r w:rsidRPr="00981026">
              <w:rPr>
                <w:rFonts w:asciiTheme="minorHAnsi" w:hAnsiTheme="minorHAnsi" w:cstheme="minorHAnsi"/>
                <w:sz w:val="22"/>
              </w:rPr>
              <w:t>Respondent Firm</w:t>
            </w:r>
          </w:p>
          <w:p w14:paraId="6E04A8AF" w14:textId="77777777" w:rsidR="007B30D1" w:rsidRPr="00981026" w:rsidRDefault="007B30D1" w:rsidP="009501DA">
            <w:pPr>
              <w:rPr>
                <w:rFonts w:asciiTheme="minorHAnsi" w:hAnsiTheme="minorHAnsi" w:cstheme="minorHAnsi"/>
                <w:sz w:val="22"/>
              </w:rPr>
            </w:pPr>
            <w:r w:rsidRPr="00064246">
              <w:rPr>
                <w:rFonts w:asciiTheme="minorHAnsi" w:hAnsiTheme="minorHAnsi" w:cstheme="minorHAnsi"/>
                <w:color w:val="0000A8"/>
                <w:sz w:val="22"/>
              </w:rPr>
              <w:t>16 Hawk Ridge Circle</w:t>
            </w:r>
          </w:p>
        </w:tc>
        <w:tc>
          <w:tcPr>
            <w:tcW w:w="442" w:type="dxa"/>
          </w:tcPr>
          <w:p w14:paraId="43C827ED" w14:textId="77777777" w:rsidR="007B30D1" w:rsidRPr="00981026" w:rsidRDefault="007B30D1" w:rsidP="009501DA">
            <w:pPr>
              <w:rPr>
                <w:rFonts w:asciiTheme="minorHAnsi" w:hAnsiTheme="minorHAnsi" w:cstheme="minorHAnsi"/>
                <w:sz w:val="22"/>
              </w:rPr>
            </w:pPr>
          </w:p>
        </w:tc>
        <w:tc>
          <w:tcPr>
            <w:tcW w:w="5239" w:type="dxa"/>
            <w:tcBorders>
              <w:top w:val="single" w:sz="4" w:space="0" w:color="auto"/>
            </w:tcBorders>
          </w:tcPr>
          <w:p w14:paraId="70B08DBB" w14:textId="77777777" w:rsidR="007B30D1" w:rsidRDefault="007B30D1" w:rsidP="009501DA">
            <w:pPr>
              <w:rPr>
                <w:rFonts w:asciiTheme="minorHAnsi" w:hAnsiTheme="minorHAnsi" w:cstheme="minorHAnsi"/>
                <w:sz w:val="22"/>
              </w:rPr>
            </w:pPr>
            <w:r w:rsidRPr="00981026">
              <w:rPr>
                <w:rFonts w:asciiTheme="minorHAnsi" w:hAnsiTheme="minorHAnsi" w:cstheme="minorHAnsi"/>
                <w:sz w:val="22"/>
              </w:rPr>
              <w:t>Telephone Number</w:t>
            </w:r>
          </w:p>
          <w:p w14:paraId="403A2895" w14:textId="77777777" w:rsidR="007B30D1" w:rsidRPr="00981026" w:rsidRDefault="007B30D1" w:rsidP="009501DA">
            <w:pPr>
              <w:rPr>
                <w:rFonts w:asciiTheme="minorHAnsi" w:hAnsiTheme="minorHAnsi" w:cstheme="minorHAnsi"/>
                <w:sz w:val="22"/>
              </w:rPr>
            </w:pPr>
            <w:r w:rsidRPr="00064246">
              <w:rPr>
                <w:rFonts w:asciiTheme="minorHAnsi" w:hAnsiTheme="minorHAnsi" w:cstheme="minorHAnsi"/>
                <w:color w:val="0000A8"/>
                <w:sz w:val="22"/>
              </w:rPr>
              <w:t>636-561-4059</w:t>
            </w:r>
          </w:p>
        </w:tc>
      </w:tr>
      <w:tr w:rsidR="007B30D1" w:rsidRPr="00981026" w14:paraId="5375204E" w14:textId="77777777" w:rsidTr="007B30D1">
        <w:tc>
          <w:tcPr>
            <w:tcW w:w="5011" w:type="dxa"/>
            <w:tcBorders>
              <w:top w:val="single" w:sz="4" w:space="0" w:color="auto"/>
            </w:tcBorders>
          </w:tcPr>
          <w:p w14:paraId="65853501" w14:textId="77777777" w:rsidR="007B30D1" w:rsidRPr="00981026" w:rsidRDefault="007B30D1" w:rsidP="009501DA">
            <w:pPr>
              <w:rPr>
                <w:rFonts w:asciiTheme="minorHAnsi" w:hAnsiTheme="minorHAnsi" w:cstheme="minorHAnsi"/>
                <w:sz w:val="22"/>
              </w:rPr>
            </w:pPr>
            <w:r w:rsidRPr="00981026">
              <w:rPr>
                <w:rFonts w:asciiTheme="minorHAnsi" w:hAnsiTheme="minorHAnsi" w:cstheme="minorHAnsi"/>
                <w:sz w:val="22"/>
              </w:rPr>
              <w:t>Address</w:t>
            </w:r>
          </w:p>
        </w:tc>
        <w:tc>
          <w:tcPr>
            <w:tcW w:w="442" w:type="dxa"/>
          </w:tcPr>
          <w:p w14:paraId="424F5608" w14:textId="77777777" w:rsidR="007B30D1" w:rsidRPr="00981026" w:rsidRDefault="007B30D1" w:rsidP="009501DA">
            <w:pPr>
              <w:rPr>
                <w:rFonts w:asciiTheme="minorHAnsi" w:hAnsiTheme="minorHAnsi" w:cstheme="minorHAnsi"/>
                <w:sz w:val="22"/>
              </w:rPr>
            </w:pPr>
          </w:p>
        </w:tc>
        <w:tc>
          <w:tcPr>
            <w:tcW w:w="5239" w:type="dxa"/>
            <w:tcBorders>
              <w:top w:val="single" w:sz="4" w:space="0" w:color="auto"/>
            </w:tcBorders>
          </w:tcPr>
          <w:p w14:paraId="78A4559B" w14:textId="77777777" w:rsidR="007B30D1" w:rsidRPr="00981026" w:rsidRDefault="007B30D1" w:rsidP="009501DA">
            <w:pPr>
              <w:rPr>
                <w:rFonts w:asciiTheme="minorHAnsi" w:hAnsiTheme="minorHAnsi" w:cstheme="minorHAnsi"/>
                <w:sz w:val="22"/>
              </w:rPr>
            </w:pPr>
            <w:r w:rsidRPr="00981026">
              <w:rPr>
                <w:rFonts w:asciiTheme="minorHAnsi" w:hAnsiTheme="minorHAnsi" w:cstheme="minorHAnsi"/>
                <w:sz w:val="22"/>
              </w:rPr>
              <w:t>Fax Number</w:t>
            </w:r>
          </w:p>
        </w:tc>
      </w:tr>
      <w:tr w:rsidR="007B30D1" w:rsidRPr="00981026" w14:paraId="0663A18B" w14:textId="77777777" w:rsidTr="007B30D1">
        <w:tc>
          <w:tcPr>
            <w:tcW w:w="5011" w:type="dxa"/>
            <w:tcBorders>
              <w:bottom w:val="single" w:sz="4" w:space="0" w:color="auto"/>
            </w:tcBorders>
          </w:tcPr>
          <w:p w14:paraId="4F653A0F" w14:textId="77777777" w:rsidR="007B30D1" w:rsidRPr="00064246" w:rsidRDefault="007B30D1" w:rsidP="009501DA">
            <w:pPr>
              <w:rPr>
                <w:rFonts w:asciiTheme="minorHAnsi" w:hAnsiTheme="minorHAnsi" w:cstheme="minorHAnsi"/>
                <w:color w:val="0000A8"/>
                <w:sz w:val="22"/>
              </w:rPr>
            </w:pPr>
            <w:r w:rsidRPr="00064246">
              <w:rPr>
                <w:rFonts w:asciiTheme="minorHAnsi" w:hAnsiTheme="minorHAnsi" w:cstheme="minorHAnsi"/>
                <w:color w:val="0000A8"/>
                <w:sz w:val="22"/>
              </w:rPr>
              <w:t>Lake St. Louis, MO 63367</w:t>
            </w:r>
          </w:p>
        </w:tc>
        <w:tc>
          <w:tcPr>
            <w:tcW w:w="442" w:type="dxa"/>
          </w:tcPr>
          <w:p w14:paraId="79713699" w14:textId="77777777" w:rsidR="007B30D1" w:rsidRPr="00981026" w:rsidRDefault="007B30D1" w:rsidP="009501DA">
            <w:pPr>
              <w:rPr>
                <w:rFonts w:asciiTheme="minorHAnsi" w:hAnsiTheme="minorHAnsi" w:cstheme="minorHAnsi"/>
                <w:sz w:val="22"/>
              </w:rPr>
            </w:pPr>
          </w:p>
        </w:tc>
        <w:tc>
          <w:tcPr>
            <w:tcW w:w="5239" w:type="dxa"/>
            <w:tcBorders>
              <w:bottom w:val="single" w:sz="4" w:space="0" w:color="auto"/>
            </w:tcBorders>
          </w:tcPr>
          <w:p w14:paraId="07489408" w14:textId="77777777" w:rsidR="007B30D1" w:rsidRPr="00981026" w:rsidRDefault="007B30D1" w:rsidP="009501DA">
            <w:pPr>
              <w:rPr>
                <w:rFonts w:asciiTheme="minorHAnsi" w:hAnsiTheme="minorHAnsi" w:cstheme="minorHAnsi"/>
                <w:sz w:val="22"/>
              </w:rPr>
            </w:pPr>
            <w:r w:rsidRPr="00064246">
              <w:rPr>
                <w:rFonts w:asciiTheme="minorHAnsi" w:hAnsiTheme="minorHAnsi" w:cstheme="minorHAnsi"/>
                <w:color w:val="0000A8"/>
                <w:sz w:val="22"/>
              </w:rPr>
              <w:t>Aboekholt@stat-courier.com</w:t>
            </w:r>
          </w:p>
        </w:tc>
      </w:tr>
      <w:tr w:rsidR="007B30D1" w:rsidRPr="00981026" w14:paraId="6B77B084" w14:textId="77777777" w:rsidTr="007B30D1">
        <w:tc>
          <w:tcPr>
            <w:tcW w:w="5011" w:type="dxa"/>
            <w:tcBorders>
              <w:bottom w:val="single" w:sz="4" w:space="0" w:color="auto"/>
            </w:tcBorders>
          </w:tcPr>
          <w:p w14:paraId="37391289" w14:textId="77777777" w:rsidR="007B30D1" w:rsidRPr="00981026" w:rsidRDefault="007B30D1" w:rsidP="009501DA">
            <w:pPr>
              <w:rPr>
                <w:rFonts w:asciiTheme="minorHAnsi" w:hAnsiTheme="minorHAnsi" w:cstheme="minorHAnsi"/>
                <w:sz w:val="22"/>
              </w:rPr>
            </w:pPr>
            <w:r w:rsidRPr="00981026">
              <w:rPr>
                <w:rFonts w:asciiTheme="minorHAnsi" w:hAnsiTheme="minorHAnsi" w:cstheme="minorHAnsi"/>
                <w:sz w:val="22"/>
              </w:rPr>
              <w:t>City/State/Zip Code</w:t>
            </w:r>
          </w:p>
          <w:p w14:paraId="2388DEB9" w14:textId="77777777" w:rsidR="007B30D1" w:rsidRDefault="007B30D1" w:rsidP="009501DA">
            <w:pPr>
              <w:rPr>
                <w:rFonts w:asciiTheme="minorHAnsi" w:hAnsiTheme="minorHAnsi" w:cstheme="minorHAnsi"/>
                <w:color w:val="0000A8"/>
                <w:sz w:val="22"/>
              </w:rPr>
            </w:pPr>
          </w:p>
          <w:p w14:paraId="54D52796" w14:textId="77777777" w:rsidR="007B30D1" w:rsidRPr="00981026" w:rsidRDefault="007B30D1" w:rsidP="009501DA">
            <w:pPr>
              <w:rPr>
                <w:rFonts w:asciiTheme="minorHAnsi" w:hAnsiTheme="minorHAnsi" w:cstheme="minorHAnsi"/>
                <w:sz w:val="22"/>
              </w:rPr>
            </w:pPr>
            <w:r w:rsidRPr="00064246">
              <w:rPr>
                <w:rFonts w:asciiTheme="minorHAnsi" w:hAnsiTheme="minorHAnsi" w:cstheme="minorHAnsi"/>
                <w:color w:val="0000A8"/>
                <w:sz w:val="22"/>
              </w:rPr>
              <w:t xml:space="preserve">Alex </w:t>
            </w:r>
            <w:proofErr w:type="spellStart"/>
            <w:r w:rsidRPr="00064246">
              <w:rPr>
                <w:rFonts w:asciiTheme="minorHAnsi" w:hAnsiTheme="minorHAnsi" w:cstheme="minorHAnsi"/>
                <w:color w:val="0000A8"/>
                <w:sz w:val="22"/>
              </w:rPr>
              <w:t>Boekholt</w:t>
            </w:r>
            <w:proofErr w:type="spellEnd"/>
          </w:p>
        </w:tc>
        <w:tc>
          <w:tcPr>
            <w:tcW w:w="442" w:type="dxa"/>
          </w:tcPr>
          <w:p w14:paraId="105C912B" w14:textId="77777777" w:rsidR="007B30D1" w:rsidRPr="00981026" w:rsidRDefault="007B30D1" w:rsidP="009501DA">
            <w:pPr>
              <w:rPr>
                <w:rFonts w:asciiTheme="minorHAnsi" w:hAnsiTheme="minorHAnsi" w:cstheme="minorHAnsi"/>
                <w:sz w:val="22"/>
              </w:rPr>
            </w:pPr>
          </w:p>
        </w:tc>
        <w:tc>
          <w:tcPr>
            <w:tcW w:w="5239" w:type="dxa"/>
            <w:tcBorders>
              <w:bottom w:val="single" w:sz="4" w:space="0" w:color="auto"/>
            </w:tcBorders>
          </w:tcPr>
          <w:p w14:paraId="4A39D2C5" w14:textId="77777777" w:rsidR="007B30D1" w:rsidRPr="00981026" w:rsidRDefault="007B30D1" w:rsidP="009501DA">
            <w:pPr>
              <w:rPr>
                <w:rFonts w:asciiTheme="minorHAnsi" w:hAnsiTheme="minorHAnsi" w:cstheme="minorHAnsi"/>
                <w:sz w:val="22"/>
              </w:rPr>
            </w:pPr>
            <w:r w:rsidRPr="00981026">
              <w:rPr>
                <w:rFonts w:asciiTheme="minorHAnsi" w:hAnsiTheme="minorHAnsi" w:cstheme="minorHAnsi"/>
                <w:sz w:val="22"/>
              </w:rPr>
              <w:t>Email Address</w:t>
            </w:r>
          </w:p>
          <w:p w14:paraId="2757B997" w14:textId="77777777" w:rsidR="007B30D1" w:rsidRPr="00981026" w:rsidRDefault="007B30D1" w:rsidP="009501DA">
            <w:pPr>
              <w:rPr>
                <w:rFonts w:asciiTheme="minorHAnsi" w:hAnsiTheme="minorHAnsi" w:cstheme="minorHAnsi"/>
                <w:sz w:val="22"/>
              </w:rPr>
            </w:pPr>
            <w:r>
              <w:rPr>
                <w:rFonts w:asciiTheme="minorHAnsi" w:hAnsiTheme="minorHAnsi" w:cstheme="minorHAnsi"/>
                <w:noProof/>
                <w:sz w:val="22"/>
              </w:rPr>
              <w:drawing>
                <wp:inline distT="0" distB="0" distL="0" distR="0" wp14:anchorId="7EFFD3E2" wp14:editId="35A8DF2D">
                  <wp:extent cx="1554480" cy="419710"/>
                  <wp:effectExtent l="0" t="0" r="0" b="0"/>
                  <wp:docPr id="16922086" name="Picture 1" descr="A close-up of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2086" name="Picture 1" descr="A close-up of a black background&#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5325" cy="430738"/>
                          </a:xfrm>
                          <a:prstGeom prst="rect">
                            <a:avLst/>
                          </a:prstGeom>
                        </pic:spPr>
                      </pic:pic>
                    </a:graphicData>
                  </a:graphic>
                </wp:inline>
              </w:drawing>
            </w:r>
          </w:p>
        </w:tc>
      </w:tr>
      <w:tr w:rsidR="007B30D1" w:rsidRPr="00981026" w14:paraId="5942E9B2" w14:textId="77777777" w:rsidTr="007B30D1">
        <w:tc>
          <w:tcPr>
            <w:tcW w:w="5011" w:type="dxa"/>
            <w:tcBorders>
              <w:bottom w:val="single" w:sz="4" w:space="0" w:color="auto"/>
            </w:tcBorders>
          </w:tcPr>
          <w:p w14:paraId="69BBAFE9" w14:textId="77777777" w:rsidR="007B30D1" w:rsidRPr="00981026" w:rsidRDefault="007B30D1" w:rsidP="009501DA">
            <w:pPr>
              <w:rPr>
                <w:rFonts w:asciiTheme="minorHAnsi" w:hAnsiTheme="minorHAnsi" w:cstheme="minorHAnsi"/>
                <w:sz w:val="22"/>
              </w:rPr>
            </w:pPr>
            <w:r w:rsidRPr="00981026">
              <w:rPr>
                <w:rFonts w:asciiTheme="minorHAnsi" w:hAnsiTheme="minorHAnsi" w:cstheme="minorHAnsi"/>
                <w:sz w:val="22"/>
              </w:rPr>
              <w:t>Representative</w:t>
            </w:r>
          </w:p>
          <w:p w14:paraId="60587681" w14:textId="77777777" w:rsidR="007B30D1" w:rsidRPr="00981026" w:rsidRDefault="007B30D1" w:rsidP="009501DA">
            <w:pPr>
              <w:rPr>
                <w:rFonts w:asciiTheme="minorHAnsi" w:hAnsiTheme="minorHAnsi" w:cstheme="minorHAnsi"/>
                <w:sz w:val="22"/>
              </w:rPr>
            </w:pPr>
            <w:r>
              <w:rPr>
                <w:rFonts w:asciiTheme="minorHAnsi" w:hAnsiTheme="minorHAnsi" w:cstheme="minorHAnsi"/>
                <w:color w:val="0000A8"/>
                <w:sz w:val="22"/>
              </w:rPr>
              <w:t>9/26/23</w:t>
            </w:r>
          </w:p>
        </w:tc>
        <w:tc>
          <w:tcPr>
            <w:tcW w:w="442" w:type="dxa"/>
          </w:tcPr>
          <w:p w14:paraId="3CC70C2E" w14:textId="77777777" w:rsidR="007B30D1" w:rsidRPr="00981026" w:rsidRDefault="007B30D1" w:rsidP="009501DA">
            <w:pPr>
              <w:rPr>
                <w:rFonts w:asciiTheme="minorHAnsi" w:hAnsiTheme="minorHAnsi" w:cstheme="minorHAnsi"/>
                <w:sz w:val="22"/>
              </w:rPr>
            </w:pPr>
          </w:p>
        </w:tc>
        <w:tc>
          <w:tcPr>
            <w:tcW w:w="5239" w:type="dxa"/>
            <w:tcBorders>
              <w:bottom w:val="single" w:sz="4" w:space="0" w:color="auto"/>
            </w:tcBorders>
          </w:tcPr>
          <w:p w14:paraId="3B2B07F8" w14:textId="77777777" w:rsidR="007B30D1" w:rsidRPr="00981026" w:rsidRDefault="007B30D1" w:rsidP="009501DA">
            <w:pPr>
              <w:rPr>
                <w:rFonts w:asciiTheme="minorHAnsi" w:hAnsiTheme="minorHAnsi" w:cstheme="minorHAnsi"/>
                <w:sz w:val="22"/>
              </w:rPr>
            </w:pPr>
            <w:r w:rsidRPr="00981026">
              <w:rPr>
                <w:rFonts w:asciiTheme="minorHAnsi" w:hAnsiTheme="minorHAnsi" w:cstheme="minorHAnsi"/>
                <w:sz w:val="22"/>
              </w:rPr>
              <w:t>Authorizing Signature</w:t>
            </w:r>
          </w:p>
          <w:p w14:paraId="7CDD84F7" w14:textId="77777777" w:rsidR="007B30D1" w:rsidRPr="00981026" w:rsidRDefault="007B30D1" w:rsidP="009501DA">
            <w:pPr>
              <w:rPr>
                <w:rFonts w:asciiTheme="minorHAnsi" w:hAnsiTheme="minorHAnsi" w:cstheme="minorHAnsi"/>
                <w:sz w:val="22"/>
              </w:rPr>
            </w:pPr>
            <w:r w:rsidRPr="00064246">
              <w:rPr>
                <w:rFonts w:asciiTheme="minorHAnsi" w:hAnsiTheme="minorHAnsi" w:cstheme="minorHAnsi"/>
                <w:color w:val="0000A8"/>
                <w:sz w:val="22"/>
              </w:rPr>
              <w:t xml:space="preserve">Alex </w:t>
            </w:r>
            <w:proofErr w:type="spellStart"/>
            <w:r w:rsidRPr="00064246">
              <w:rPr>
                <w:rFonts w:asciiTheme="minorHAnsi" w:hAnsiTheme="minorHAnsi" w:cstheme="minorHAnsi"/>
                <w:color w:val="0000A8"/>
                <w:sz w:val="22"/>
              </w:rPr>
              <w:t>Boekholt</w:t>
            </w:r>
            <w:proofErr w:type="spellEnd"/>
            <w:r w:rsidRPr="00064246">
              <w:rPr>
                <w:rFonts w:asciiTheme="minorHAnsi" w:hAnsiTheme="minorHAnsi" w:cstheme="minorHAnsi"/>
                <w:color w:val="0000A8"/>
                <w:sz w:val="22"/>
              </w:rPr>
              <w:t xml:space="preserve">, VP </w:t>
            </w:r>
            <w:proofErr w:type="gramStart"/>
            <w:r w:rsidRPr="00064246">
              <w:rPr>
                <w:rFonts w:asciiTheme="minorHAnsi" w:hAnsiTheme="minorHAnsi" w:cstheme="minorHAnsi"/>
                <w:color w:val="0000A8"/>
                <w:sz w:val="22"/>
              </w:rPr>
              <w:t>Sales</w:t>
            </w:r>
            <w:proofErr w:type="gramEnd"/>
            <w:r w:rsidRPr="00064246">
              <w:rPr>
                <w:rFonts w:asciiTheme="minorHAnsi" w:hAnsiTheme="minorHAnsi" w:cstheme="minorHAnsi"/>
                <w:color w:val="0000A8"/>
                <w:sz w:val="22"/>
              </w:rPr>
              <w:t xml:space="preserve"> and Marketing</w:t>
            </w:r>
          </w:p>
        </w:tc>
      </w:tr>
      <w:tr w:rsidR="007B30D1" w:rsidRPr="00981026" w14:paraId="2C9C3090" w14:textId="77777777" w:rsidTr="007B30D1">
        <w:trPr>
          <w:trHeight w:val="303"/>
        </w:trPr>
        <w:tc>
          <w:tcPr>
            <w:tcW w:w="5011" w:type="dxa"/>
            <w:tcBorders>
              <w:top w:val="single" w:sz="4" w:space="0" w:color="auto"/>
            </w:tcBorders>
          </w:tcPr>
          <w:p w14:paraId="770C3624" w14:textId="77777777" w:rsidR="007B30D1" w:rsidRPr="00981026" w:rsidRDefault="007B30D1" w:rsidP="009501DA">
            <w:pPr>
              <w:rPr>
                <w:rFonts w:asciiTheme="minorHAnsi" w:hAnsiTheme="minorHAnsi" w:cstheme="minorHAnsi"/>
                <w:sz w:val="22"/>
              </w:rPr>
            </w:pPr>
            <w:r w:rsidRPr="00981026">
              <w:rPr>
                <w:rFonts w:asciiTheme="minorHAnsi" w:hAnsiTheme="minorHAnsi" w:cstheme="minorHAnsi"/>
                <w:sz w:val="22"/>
              </w:rPr>
              <w:t>Date</w:t>
            </w:r>
          </w:p>
        </w:tc>
        <w:tc>
          <w:tcPr>
            <w:tcW w:w="442" w:type="dxa"/>
          </w:tcPr>
          <w:p w14:paraId="2A85F32C" w14:textId="77777777" w:rsidR="007B30D1" w:rsidRPr="00981026" w:rsidRDefault="007B30D1" w:rsidP="009501DA">
            <w:pPr>
              <w:rPr>
                <w:rFonts w:asciiTheme="minorHAnsi" w:hAnsiTheme="minorHAnsi" w:cstheme="minorHAnsi"/>
                <w:sz w:val="22"/>
              </w:rPr>
            </w:pPr>
          </w:p>
        </w:tc>
        <w:tc>
          <w:tcPr>
            <w:tcW w:w="5239" w:type="dxa"/>
            <w:tcBorders>
              <w:top w:val="single" w:sz="4" w:space="0" w:color="auto"/>
            </w:tcBorders>
          </w:tcPr>
          <w:p w14:paraId="6FCEAEA1" w14:textId="77777777" w:rsidR="007B30D1" w:rsidRPr="00981026" w:rsidRDefault="007B30D1" w:rsidP="009501DA">
            <w:pPr>
              <w:rPr>
                <w:rFonts w:asciiTheme="minorHAnsi" w:hAnsiTheme="minorHAnsi" w:cstheme="minorHAnsi"/>
                <w:sz w:val="22"/>
              </w:rPr>
            </w:pPr>
            <w:r w:rsidRPr="00981026">
              <w:rPr>
                <w:rFonts w:asciiTheme="minorHAnsi" w:hAnsiTheme="minorHAnsi" w:cstheme="minorHAnsi"/>
                <w:sz w:val="22"/>
              </w:rPr>
              <w:t>Printed Name and Title</w:t>
            </w:r>
          </w:p>
          <w:p w14:paraId="670E59E9" w14:textId="77777777" w:rsidR="007B30D1" w:rsidRPr="00981026" w:rsidRDefault="007B30D1" w:rsidP="009501DA">
            <w:pPr>
              <w:rPr>
                <w:rFonts w:asciiTheme="minorHAnsi" w:hAnsiTheme="minorHAnsi" w:cstheme="minorHAnsi"/>
                <w:sz w:val="22"/>
              </w:rPr>
            </w:pP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698122137">
    <w:abstractNumId w:val="4"/>
  </w:num>
  <w:num w:numId="2" w16cid:durableId="2102069573">
    <w:abstractNumId w:val="3"/>
  </w:num>
  <w:num w:numId="3" w16cid:durableId="717780370">
    <w:abstractNumId w:val="1"/>
  </w:num>
  <w:num w:numId="4" w16cid:durableId="200242133">
    <w:abstractNumId w:val="0"/>
  </w:num>
  <w:num w:numId="5" w16cid:durableId="112075849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33893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A3348"/>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B30D1"/>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2141E"/>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D48623-6D65-4A86-9049-8877DE0A3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855</Words>
  <Characters>5579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6422</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March, Kevin</cp:lastModifiedBy>
  <cp:revision>2</cp:revision>
  <cp:lastPrinted>2015-04-22T14:59:00Z</cp:lastPrinted>
  <dcterms:created xsi:type="dcterms:W3CDTF">2023-09-29T14:54:00Z</dcterms:created>
  <dcterms:modified xsi:type="dcterms:W3CDTF">2023-09-29T14:54:00Z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